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  <w:tblLayout w:type="fixed"/>
      </w:tblPr>
      <w:tblGrid>
        <w:gridCol w:w="7792"/>
        <w:gridCol w:w="8324"/>
      </w:tblGrid>
      <w:tr>
        <w:trPr>
          <w:trHeight w:val="274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ພາສາລາວ</w:t>
            </w:r>
          </w:p>
        </w:tc>
      </w:tr>
      <w:tr>
        <w:trPr>
          <w:trHeight w:val="82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ຈົນເຖິງວັນ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ທີ່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 xml:space="preserve">5 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ເດືອນ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사회적거리 두기 계속 추진합니다</w:t>
            </w:r>
          </w:p>
        </w:tc>
        <w:tc>
          <w:tcPr>
            <w:tcW w:w="8324" w:type="dxa"/>
          </w:tcPr>
          <w:p>
            <w:pPr>
              <w:jc w:val="center"/>
              <w:rPr>
                <w:lang w:bidi="lo-LA"/>
                <w:rFonts w:cs="DokChampa"/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ສຶບຕໍ່ເວັ້ນໄລຍະຫ່າງທາງສັງຄົມ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ແຕ່ແບບຜ່ອນຄາຍ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ລົງກ່ອນເກົ່າ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실외-분산시설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ສະສານທີ່ກາງແຈ້ງ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-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ທີ່ບໍ່ແອອັດ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방역수칙 마련을 전제로 단계적으로 운영 재개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ໃນສະຖານທີ່ສາທາລະນະ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ອຸດທະຍານແຫ່ງຊາດ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,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ສວນພັກຜ່ອນຢ່ອນໃຈຕ່າງໆ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ໃດ້ປະຕິບັດຕາມລ່ຳດັບເງື່ອນໃຂການປ້ອງກັນໂລກລະບາດແລ້ວເປິດໃຫ້ບໍລິການໃດ້</w:t>
            </w:r>
          </w:p>
        </w:tc>
      </w:tr>
      <w:tr>
        <w:trPr>
          <w:trHeight w:val="82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ສະຖານທີ່ກາງແຈ້ງ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-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ທີ່ແອອັດ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324" w:type="dxa"/>
          </w:tcPr>
          <w:p>
            <w:pPr>
              <w:jc w:val="center"/>
              <w:rPr>
                <w:lang w:bidi="lo-LA"/>
                <w:rFonts w:cs="DokChampa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‘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ສະໜາມກິລາເບດບອຣແບບບໍ່ມີຜູ້ເຂົ້າຊົມ</w:t>
            </w:r>
            <w:r>
              <w:rPr>
                <w:sz w:val="24"/>
              </w:rPr>
              <w:t>‘</w:t>
            </w:r>
            <w:r>
              <w:rPr>
                <w:sz w:val="24"/>
              </w:rPr>
              <w:t xml:space="preserve"> 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ທີ່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‘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ກະຈາຍ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ໃດ້</w:t>
            </w:r>
            <w:r>
              <w:rPr>
                <w:sz w:val="24"/>
                <w:szCs w:val="24"/>
              </w:rPr>
              <w:t>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ຕາມເງື່ອນໃຂໃນການຄວບຄຸມແລະເປີດໃດ້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ໃນສ່ວນຂອງຄົນ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방역지침을 준수하는 범위에서 제한적으로 시행 허용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ການສອບເສັງທີ່ຈຳເປັນແລະຫຼີກລ້ຽງບໍ່ໃດ້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ປະຕິຕາມກົດລະບຽບຂອງການປ້ອງກັນໂລກແມ່ນອະນຸຍາດໃຫ້ດຳເນີນການໃດ້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종교시설 등 기존 행정명령 </w:t>
            </w:r>
            <w:r>
              <w:rPr>
                <w:rFonts w:hint="eastAsia"/>
                <w:sz w:val="24"/>
              </w:rPr>
              <w:t>유지,운영</w:t>
            </w:r>
            <w:r>
              <w:rPr>
                <w:rFonts w:hint="eastAsia"/>
                <w:sz w:val="24"/>
              </w:rPr>
              <w:t xml:space="preserve"> 중단 권고에서 운영 자제 권고로 조정</w:t>
            </w:r>
          </w:p>
        </w:tc>
        <w:tc>
          <w:tcPr>
            <w:tcW w:w="8324" w:type="dxa"/>
          </w:tcPr>
          <w:p>
            <w:pPr>
              <w:rPr>
                <w:lang w:bidi="lo-LA"/>
                <w:rFonts w:cs="DokChampa"/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ສະຖານບັນເທີງ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,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ບ່ອນອອກກຳລັງກາຍສ່ວນໜຶ່ງ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,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ບ່ອນຮຽນພິເສດ</w:t>
            </w:r>
            <w:r>
              <w:rPr>
                <w:lang w:bidi="lo-LA"/>
                <w:rFonts w:cs="DokChampa"/>
                <w:b/>
                <w:bCs/>
                <w:sz w:val="24"/>
                <w:szCs w:val="24"/>
              </w:rPr>
              <w:t>,</w:t>
            </w: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ສະຖານປະກອບກິດຈະກຳທາງສາສະໜາທີ່ປະຕິບັດຕາມຄຳແນະນຳມາຢູ່ແລ້ວກໍ່ປັບຕາມຄຳສັ່ງຕື່ມ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32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bidi="lo-LA"/>
                <w:rFonts w:cs="DokChampa" w:hint="cs"/>
                <w:b/>
                <w:bCs/>
                <w:sz w:val="24"/>
                <w:szCs w:val="24"/>
                <w:cs/>
              </w:rPr>
              <w:t>ກະຊວງຄວາມເທົ່າທຽມກັນທາງເພດແລະຄອບຄົວ</w:t>
            </w:r>
          </w:p>
        </w:tc>
      </w:tr>
      <w:tr>
        <w:trPr>
          <w:trHeight w:val="785" w:hRule="atLeast"/>
        </w:trPr>
        <w:tc>
          <w:tcPr>
            <w:tcW w:w="7792" w:type="dxa"/>
          </w:tcPr>
          <w:p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</w:t>
            </w:r>
            <w:r>
              <w:rPr>
                <w:rFonts w:hint="eastAsia"/>
                <w:sz w:val="22"/>
                <w:szCs w:val="22"/>
              </w:rPr>
              <w:t>다누리콜센터</w:t>
            </w:r>
            <w:r>
              <w:rPr>
                <w:rFonts w:hint="eastAsia"/>
                <w:sz w:val="22"/>
                <w:szCs w:val="22"/>
              </w:rPr>
              <w:t>1577-1366에서 하였습니다.</w:t>
            </w:r>
          </w:p>
        </w:tc>
        <w:tc>
          <w:tcPr>
            <w:tcW w:w="832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lo-LA"/>
                <w:rFonts w:ascii="Saysettha OT" w:eastAsia="굴림" w:hAnsi="Saysettha OT" w:cs="Saysettha OT"/>
                <w:b/>
                <w:bCs/>
                <w:color w:val="000000"/>
                <w:sz w:val="24"/>
                <w:szCs w:val="24"/>
                <w:cs/>
                <w:kern w:val="0"/>
              </w:rPr>
              <w:t>ບົດຄວາມນີ້ແປໂດຍສູນ ດານູລີ</w:t>
            </w:r>
            <w:r>
              <w:rPr>
                <w:lang w:bidi="lo-LA"/>
                <w:rFonts w:ascii="Saysettha OT" w:eastAsia="굴림" w:hAnsi="Saysettha OT" w:cs="Saysettha OT"/>
                <w:b/>
                <w:bCs/>
                <w:color w:val="000000"/>
                <w:sz w:val="24"/>
                <w:szCs w:val="24"/>
                <w:kern w:val="0"/>
              </w:rPr>
              <w:t xml:space="preserve"> 1577-1366</w:t>
            </w:r>
          </w:p>
        </w:tc>
      </w:tr>
    </w:tbl>
    <w:p>
      <w:pPr>
        <w:jc w:val="center"/>
      </w:pPr>
    </w:p>
    <w:p/>
    <w:sectPr>
      <w:pgSz w:w="16838" w:h="11906" w:orient="landscape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DokChampa">
    <w:panose1 w:val="020B0604020202020204"/>
    <w:family w:val="swiss"/>
    <w:charset w:val="00"/>
    <w:notTrueType w:val="false"/>
    <w:sig w:usb0="03000003" w:usb1="00000001" w:usb2="00000001" w:usb3="00000001" w:csb0="40010001" w:csb1="00000001"/>
  </w:font>
  <w:font w:name="Saysettha OT">
    <w:panose1 w:val="020B0504FFFFFFFFFFFF"/>
    <w:family w:val="swiss"/>
    <w:charset w:val="00"/>
    <w:notTrueType w:val="false"/>
    <w:pitch w:val="variable"/>
    <w:sig w:usb0="830000AF" w:usb1="1000200A" w:usb2="00000000" w:usb3="00000000" w:csb0="00010001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nalivanh vongsa</dc:creator>
  <cp:keywords/>
  <dc:description/>
  <cp:lastModifiedBy>김선영</cp:lastModifiedBy>
  <cp:revision>1</cp:revision>
  <dcterms:created xsi:type="dcterms:W3CDTF">2020-04-23T02:53:00Z</dcterms:created>
  <dcterms:modified xsi:type="dcterms:W3CDTF">2020-04-23T06:02:33Z</dcterms:modified>
  <cp:version>1000.0100.01</cp:version>
</cp:coreProperties>
</file>