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leftFromText="142" w:rightFromText="142" w:vertAnchor="text" w:horzAnchor="page" w:tblpX="773" w:tblpY="105"/>
        <w:tblOverlap w:val="never"/>
        <w:tblW w:w="10307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4"/>
        <w:gridCol w:w="2771"/>
        <w:gridCol w:w="4722"/>
      </w:tblGrid>
      <w:tr>
        <w:trPr>
          <w:trHeight w:val="103" w:hRule="atLeast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70" w:hRule="atLeast"/>
        </w:trPr>
        <w:tc>
          <w:tcPr>
            <w:tcW w:w="10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val="ru-RU"/>
                <w:rFonts w:ascii="Times New Roman" w:eastAsia="Noto Sans CJK KR Thin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</w:pPr>
            <w:r>
              <w:rPr>
                <w:lang w:val="ru-RU"/>
                <w:rFonts w:ascii="Times New Roman" w:eastAsia="Noto Sans CJK KR Thin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>Регистраци</w:t>
            </w:r>
            <w:r>
              <w:rPr>
                <w:lang w:val="ru-RU"/>
                <w:rFonts w:ascii="Times New Roman" w:eastAsia="Noto Sans CJK KR Thin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>я</w:t>
            </w:r>
            <w:r>
              <w:rPr>
                <w:lang w:val="ru-RU"/>
                <w:rFonts w:ascii="Times New Roman" w:eastAsia="Noto Sans CJK KR Thin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 записей о</w:t>
            </w:r>
            <w:r>
              <w:rPr>
                <w:lang w:val="ru-RU"/>
                <w:rFonts w:ascii="Times New Roman" w:eastAsia="Noto Sans CJK KR Thin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 полученных ранее</w:t>
            </w:r>
            <w:r>
              <w:rPr>
                <w:lang w:val="ru-RU"/>
                <w:rFonts w:ascii="Times New Roman" w:eastAsia="Noto Sans CJK KR Thin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 прививках</w:t>
            </w:r>
            <w:r>
              <w:rPr>
                <w:lang w:val="ru-RU"/>
                <w:rFonts w:ascii="Times New Roman" w:eastAsia="Noto Sans CJK KR Thin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 перед получением третьей вакцины для</w:t>
            </w:r>
            <w:r>
              <w:rPr>
                <w:lang w:val="ru-RU"/>
                <w:rFonts w:ascii="Times New Roman" w:eastAsia="Noto Sans CJK KR Thin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 лиц, завершившим вакцинацию</w:t>
            </w:r>
            <w:r>
              <w:rPr>
                <w:lang w:val="ru-RU"/>
                <w:rFonts w:ascii="Times New Roman" w:eastAsia="Noto Sans CJK KR Thin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 за рубежом </w:t>
            </w:r>
          </w:p>
        </w:tc>
      </w:tr>
      <w:tr>
        <w:trPr>
          <w:trHeight w:val="102" w:hRule="atLeast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val="ru-RU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  <w:p>
            <w:pPr>
              <w:snapToGrid w:val="0"/>
              <w:spacing w:after="0" w:line="240" w:lineRule="auto"/>
              <w:textAlignment w:val="baseline"/>
              <w:rPr>
                <w:lang w:val="ru-RU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val="ru-RU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val="ru-RU"/>
                <w:rFonts w:ascii="Arial" w:eastAsia="굴림" w:hAnsi="Arial" w:cs="Arial"/>
                <w:color w:val="000000"/>
                <w:sz w:val="2"/>
                <w:szCs w:val="2"/>
                <w:kern w:val="0"/>
              </w:rPr>
            </w:pPr>
          </w:p>
        </w:tc>
      </w:tr>
    </w:tbl>
    <w:p>
      <w:pPr>
        <w:snapToGrid w:val="0"/>
        <w:spacing w:after="20" w:before="300" w:line="240" w:lineRule="auto"/>
        <w:textAlignment w:val="baseline"/>
        <w:rPr>
          <w:lang w:val="ru-RU"/>
          <w:rFonts w:ascii="Arial" w:eastAsia="HY헤드라인M" w:hAnsi="Arial" w:cs="Arial"/>
          <w:b/>
          <w:bCs/>
          <w:color w:val="000000"/>
          <w:sz w:val="12"/>
          <w:szCs w:val="12"/>
          <w:kern w:val="0"/>
        </w:rPr>
      </w:pPr>
    </w:p>
    <w:p>
      <w:pPr>
        <w:snapToGrid w:val="0"/>
        <w:spacing w:after="20" w:before="30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Noto Sans CJK KR Thin" w:hAnsi="Times New Roman" w:cs="Times New Roman"/>
          <w:b/>
          <w:bCs/>
          <w:color w:val="000000"/>
          <w:sz w:val="30"/>
          <w:szCs w:val="30"/>
          <w:kern w:val="0"/>
        </w:rPr>
        <w:t>□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О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бщие св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едения</w:t>
      </w:r>
    </w:p>
    <w:p>
      <w:pPr>
        <w:ind w:left="284" w:hanging="284"/>
        <w:snapToGrid w:val="0"/>
        <w:tabs>
          <w:tab w:val="left" w:pos="6768"/>
        </w:tabs>
        <w:spacing w:after="0" w:before="16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</w:pP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◦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Иностранцы*, вакцинированные против COVID-19 за рубежом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, но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не получившие документ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ы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об освобождении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от прохождения карантина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,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при въезде в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страну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могут пройти третью вакцинацию в Корее.</w:t>
      </w:r>
    </w:p>
    <w:p>
      <w:pPr>
        <w:ind w:leftChars="213" w:left="426" w:firstLineChars="13" w:firstLine="34"/>
        <w:spacing w:after="0" w:before="2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 xml:space="preserve">*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>(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 xml:space="preserve">иностранцы,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>привитые за рубежом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 xml:space="preserve">)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 xml:space="preserve">регистрация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>истории вакцинации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 xml:space="preserve"> за рубежом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>только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 xml:space="preserve"> для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>имеющих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 xml:space="preserve"> документ об освобождении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 xml:space="preserve"> от карантина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>(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>c 7 октября 2021 года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>)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  <w:spacing w:val="-16"/>
        </w:rPr>
        <w:t>.</w:t>
      </w:r>
    </w:p>
    <w:p>
      <w:pPr>
        <w:ind w:left="284" w:hanging="284"/>
        <w:snapToGrid w:val="0"/>
        <w:tabs>
          <w:tab w:val="left" w:pos="6768"/>
        </w:tabs>
        <w:spacing w:after="0" w:before="16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◦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Даже те, кто был вакцинирован в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в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оенных базах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США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в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Южной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Корее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**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, но столкнувшиеся с трудностями при регистрации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истории вакцинации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из-за изменения статуса в связи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с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выходом на пенсию и др., могут зарегистрировать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соответствующие записи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. </w:t>
      </w:r>
    </w:p>
    <w:p>
      <w:pPr>
        <w:ind w:leftChars="213" w:left="426" w:firstLineChars="13" w:firstLine="34"/>
        <w:spacing w:after="0" w:before="2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>*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>* (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 xml:space="preserve">вакцинированные в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>в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>оенных базах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 xml:space="preserve"> США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 xml:space="preserve"> в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 xml:space="preserve">Южной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>Корее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>)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 xml:space="preserve"> регистрация истории вакцинации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>и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 xml:space="preserve">получение сертификата о вакцинации 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>в военн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>ой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 xml:space="preserve"> баз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>е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 xml:space="preserve"> США</w:t>
      </w:r>
      <w:r>
        <w:rPr>
          <w:lang w:val="ru-RU"/>
          <w:rFonts w:ascii="Times New Roman" w:eastAsia="Noto Sans CJK KR Thin" w:hAnsi="Times New Roman" w:cs="Times New Roman"/>
          <w:color w:val="000000"/>
          <w:sz w:val="26"/>
          <w:szCs w:val="26"/>
          <w:kern w:val="0"/>
        </w:rPr>
        <w:t>.</w:t>
      </w:r>
    </w:p>
    <w:p>
      <w:pPr>
        <w:snapToGrid w:val="0"/>
        <w:spacing w:after="20" w:before="30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Noto Sans CJK KR Thin" w:hAnsi="Times New Roman" w:cs="Times New Roman"/>
          <w:b/>
          <w:bCs/>
          <w:color w:val="000000"/>
          <w:sz w:val="30"/>
          <w:szCs w:val="30"/>
          <w:kern w:val="0"/>
        </w:rPr>
        <w:t>□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Цел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ь</w:t>
      </w:r>
    </w:p>
    <w:p>
      <w:pPr>
        <w:ind w:left="282" w:hangingChars="94" w:hanging="282"/>
        <w:snapToGrid w:val="0"/>
        <w:tabs>
          <w:tab w:val="left" w:pos="6768"/>
        </w:tabs>
        <w:spacing w:after="0" w:before="16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◦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Иностранцы, зарегистрировавшие таким образом запись о получении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первой и второй дозой вакцины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 xml:space="preserve">, смогут получить сертификат о прохождении вакцинации за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>рубежом (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>в том числе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>и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>в приложении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 xml:space="preserve"> </w:t>
      </w:r>
      <w:r>
        <w:rPr>
          <w:rFonts w:ascii="Times New Roman" w:eastAsia="Noto Sans CJK KR Thin" w:hAnsi="Times New Roman" w:cs="Times New Roman"/>
          <w:color w:val="000000"/>
          <w:sz w:val="28"/>
          <w:szCs w:val="28"/>
          <w:kern w:val="0"/>
          <w:spacing w:val="-6"/>
        </w:rPr>
        <w:t>COOV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>)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 xml:space="preserve">,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 xml:space="preserve">пройти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>третью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 xml:space="preserve"> вакцинаци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>ю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 xml:space="preserve"> и пользоваться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>санитарными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  <w:spacing w:val="-4"/>
        </w:rPr>
        <w:t>пропусками.</w:t>
      </w:r>
    </w:p>
    <w:p>
      <w:pPr>
        <w:snapToGrid w:val="0"/>
        <w:spacing w:after="20" w:before="30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</w:pPr>
      <w:r>
        <w:rPr>
          <w:lang w:val="ru-RU"/>
          <w:rFonts w:ascii="Times New Roman" w:eastAsia="Noto Sans CJK KR Thin" w:hAnsi="Times New Roman" w:cs="Times New Roman"/>
          <w:b/>
          <w:bCs/>
          <w:color w:val="000000"/>
          <w:sz w:val="30"/>
          <w:szCs w:val="30"/>
          <w:kern w:val="0"/>
        </w:rPr>
        <w:t>□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Вакцины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,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подлежащие регистрации</w:t>
      </w:r>
    </w:p>
    <w:p>
      <w:pPr>
        <w:ind w:left="282" w:hangingChars="94" w:hanging="282"/>
        <w:snapToGrid w:val="0"/>
        <w:spacing w:after="20" w:before="30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</w:pPr>
      <w:r>
        <w:rPr>
          <w:lang w:val="ru-RU"/>
          <w:rFonts w:ascii="Times New Roman" w:eastAsia="바탕" w:hAnsi="Times New Roman" w:cs="Times New Roman"/>
          <w:color w:val="000000"/>
          <w:sz w:val="30"/>
          <w:szCs w:val="30"/>
          <w:kern w:val="0"/>
        </w:rPr>
        <w:t>◦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Регистрация истории вакцинации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распространяется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только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на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вакцин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ы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,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одобренны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е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ВОЗ *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.</w:t>
      </w:r>
    </w:p>
    <w:p>
      <w:pPr>
        <w:ind w:leftChars="213" w:left="426" w:firstLineChars="8" w:firstLine="24"/>
        <w:autoSpaceDE/>
        <w:autoSpaceDN/>
        <w:widowControl/>
        <w:wordWrap/>
        <w:shd w:val="clear" w:color="auto" w:fill="FFFFFF"/>
        <w:spacing w:line="225" w:lineRule="atLeast"/>
        <w:rPr>
          <w:lang w:val="ru-RU"/>
          <w:rFonts w:ascii="Times New Roman" w:eastAsia="돋움" w:hAnsi="Times New Roman" w:cs="Times New Roman"/>
          <w:b/>
          <w:bCs/>
          <w:color w:val="000000"/>
          <w:sz w:val="21"/>
          <w:szCs w:val="21"/>
          <w:kern w:val="0"/>
        </w:rPr>
      </w:pP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* 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Pfizer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, 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Janssen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, 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Moderna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, 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AstraZeneca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,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C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o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viS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hield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(Индийский научно-исследовательский институт), 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Sinopharm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(Пекин), 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S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i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nov</w:t>
      </w:r>
      <w:r>
        <w:rPr>
          <w:rFonts w:ascii="Times New Roman" w:eastAsia="Noto Sans CJK KR Thin" w:hAnsi="Times New Roman" w:cs="Times New Roman" w:hint="eastAsia"/>
          <w:color w:val="000000"/>
          <w:sz w:val="30"/>
          <w:szCs w:val="30"/>
          <w:kern w:val="0"/>
        </w:rPr>
        <w:t>a</w:t>
      </w:r>
      <w:r>
        <w:rPr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c</w:t>
      </w:r>
      <w:r>
        <w:rPr>
          <w:lang w:val="ru-RU"/>
          <w:rFonts w:ascii="Times New Roman" w:eastAsia="Noto Sans CJK KR Thin" w:hAnsi="Times New Roman" w:cs="Times New Roman"/>
          <w:b/>
          <w:bCs/>
          <w:color w:val="000000"/>
          <w:sz w:val="30"/>
          <w:szCs w:val="30"/>
          <w:kern w:val="0"/>
        </w:rPr>
        <w:t>,</w:t>
      </w:r>
      <w:r>
        <w:rPr>
          <w:lang w:val="ru-RU"/>
          <w:color w:val="000000"/>
        </w:rPr>
        <w:t xml:space="preserve"> </w:t>
      </w:r>
      <w:r>
        <w:rPr>
          <w:lang w:val="ru-RU"/>
          <w:rFonts w:ascii="Times New Roman" w:hAnsi="Times New Roman"/>
          <w:color w:val="000000"/>
          <w:sz w:val="30"/>
          <w:szCs w:val="30"/>
        </w:rPr>
        <w:t>Covaxin</w:t>
      </w:r>
      <w:r>
        <w:rPr>
          <w:lang w:val="ru-RU"/>
          <w:rFonts w:ascii="Times New Roman" w:eastAsia="돋움" w:hAnsi="Times New Roman" w:cs="Times New Roman"/>
          <w:b/>
          <w:bCs/>
          <w:color w:val="000000"/>
          <w:sz w:val="30"/>
          <w:szCs w:val="30"/>
          <w:kern w:val="0"/>
        </w:rPr>
        <w:t>.</w:t>
      </w:r>
    </w:p>
    <w:p>
      <w:pPr>
        <w:ind w:left="284" w:hanging="284"/>
        <w:snapToGrid w:val="0"/>
        <w:tabs>
          <w:tab w:val="left" w:pos="6768"/>
        </w:tabs>
        <w:spacing w:after="0" w:before="16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◦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Иностранцы,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не получившие документов об освобождении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от карантина,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смогут зарегистрировать историю вакцинации после п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рохождения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третьей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вакцинации.</w:t>
      </w:r>
    </w:p>
    <w:p>
      <w:pPr>
        <w:ind w:left="284" w:hanging="284"/>
        <w:snapToGrid w:val="0"/>
        <w:tabs>
          <w:tab w:val="left" w:pos="6768"/>
        </w:tabs>
        <w:spacing w:after="0" w:before="16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◦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Возможно о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свобождение от карантина при повторном въезде и при тесном контакте с инфицированным.</w:t>
      </w:r>
    </w:p>
    <w:p>
      <w:pPr>
        <w:snapToGrid w:val="0"/>
        <w:spacing w:after="20" w:before="30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Noto Sans CJK KR Thin" w:hAnsi="Times New Roman" w:cs="Times New Roman"/>
          <w:b/>
          <w:bCs/>
          <w:color w:val="000000"/>
          <w:sz w:val="30"/>
          <w:szCs w:val="30"/>
          <w:kern w:val="0"/>
        </w:rPr>
        <w:t>□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Способ регистрации</w:t>
      </w:r>
    </w:p>
    <w:p>
      <w:pPr>
        <w:ind w:left="284" w:hanging="284"/>
        <w:snapToGrid w:val="0"/>
        <w:tabs>
          <w:tab w:val="left" w:pos="6768"/>
        </w:tabs>
        <w:spacing w:after="0" w:before="160" w:line="216" w:lineRule="auto"/>
        <w:textAlignment w:val="baseline"/>
        <w:rPr>
          <w:lang w:val="ru-RU"/>
          <w:rFonts w:ascii="Times New Roman" w:eastAsia="Noto Sans CJK KR Thin" w:hAnsi="Times New Roman" w:cs="Times New Roman"/>
          <w:color w:val="000000"/>
          <w:szCs w:val="20"/>
          <w:kern w:val="0"/>
        </w:rPr>
      </w:pP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◦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Иностранцы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,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желающие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зарегистрировать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зарубежную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историю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вакцинации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,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могут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посетить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ближай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шую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государственную поликлинику (погонсо)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и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после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предъявления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удостоверения личности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и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зарубежного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сертификата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о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вакцинации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зарегистрировать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соответствующую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запись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>.</w:t>
      </w:r>
      <w:r>
        <w:rPr>
          <w:lang w:val="ru-RU"/>
          <w:rFonts w:ascii="Times New Roman" w:eastAsia="Noto Sans CJK KR Thin" w:hAnsi="Times New Roman" w:cs="Times New Roman"/>
          <w:color w:val="000000"/>
          <w:sz w:val="30"/>
          <w:szCs w:val="30"/>
          <w:kern w:val="0"/>
        </w:rPr>
        <w:t xml:space="preserve"> </w:t>
      </w:r>
    </w:p>
    <w:p>
      <w:pPr>
        <w:spacing w:line="216" w:lineRule="auto"/>
        <w:rPr>
          <w:lang w:val="ru-RU"/>
          <w:rFonts w:ascii="Times New Roman" w:eastAsia="Noto Sans CJK KR Thin" w:hAnsi="Times New Roman" w:cs="Times New Roman"/>
          <w:color w:val="000000"/>
        </w:rPr>
      </w:pPr>
    </w:p>
    <w:p>
      <w:pPr>
        <w:jc w:val="right"/>
        <w:spacing w:line="216" w:lineRule="auto"/>
        <w:rPr>
          <w:lang w:val="ru-RU"/>
          <w:rFonts w:ascii="Times New Roman" w:eastAsia="Noto Sans CJK KR Thin" w:hAnsi="Times New Roman" w:cs="Times New Roman"/>
          <w:b/>
          <w:bCs/>
          <w:color w:val="000000"/>
          <w:sz w:val="28"/>
          <w:szCs w:val="28"/>
        </w:rPr>
      </w:pPr>
      <w:r>
        <w:rPr>
          <w:lang w:val="ru-RU"/>
          <w:rFonts w:ascii="Times New Roman" w:eastAsia="Noto Sans CJK KR Thin" w:hAnsi="Times New Roman" w:cs="Times New Roman"/>
          <w:color w:val="000000"/>
          <w:sz w:val="24"/>
          <w:szCs w:val="28"/>
        </w:rPr>
        <w:t xml:space="preserve"> </w:t>
      </w:r>
      <w:r>
        <w:rPr>
          <w:lang w:val="ru-RU"/>
          <w:rFonts w:ascii="Times New Roman" w:eastAsia="Noto Sans CJK KR Thin" w:hAnsi="Times New Roman" w:cs="Times New Roman"/>
          <w:b/>
          <w:bCs/>
          <w:color w:val="000000"/>
          <w:sz w:val="28"/>
          <w:szCs w:val="28"/>
        </w:rPr>
        <w:t>&lt;</w:t>
      </w:r>
      <w:r>
        <w:rPr>
          <w:lang w:val="ru-RU"/>
          <w:rFonts w:ascii="Times New Roman" w:eastAsia="Noto Sans CJK KR Thin" w:hAnsi="Times New Roman" w:cs="Times New Roman"/>
          <w:b/>
          <w:bCs/>
          <w:color w:val="000000"/>
          <w:sz w:val="28"/>
          <w:szCs w:val="28"/>
        </w:rPr>
        <w:t xml:space="preserve">Перевод </w:t>
      </w:r>
      <w:r>
        <w:rPr>
          <w:lang w:val="ru-RU"/>
          <w:rFonts w:ascii="Times New Roman" w:eastAsia="Noto Sans CJK KR Thin" w:hAnsi="Times New Roman" w:cs="Times New Roman"/>
          <w:b/>
          <w:bCs/>
          <w:color w:val="000000"/>
          <w:sz w:val="28"/>
          <w:szCs w:val="28"/>
        </w:rPr>
        <w:t>предоставлен колл-центром</w:t>
      </w:r>
      <w:r>
        <w:rPr>
          <w:lang w:val="ru-RU"/>
          <w:rFonts w:ascii="Times New Roman" w:eastAsia="Noto Sans CJK KR Thin" w:hAnsi="Times New Roman" w:cs="Times New Roman"/>
          <w:b/>
          <w:bCs/>
          <w:color w:val="000000"/>
          <w:sz w:val="28"/>
          <w:szCs w:val="28"/>
        </w:rPr>
        <w:t xml:space="preserve"> Данури </w:t>
      </w:r>
      <w:r>
        <w:rPr>
          <w:lang w:val="ru-RU"/>
          <w:rFonts w:ascii="Times New Roman" w:eastAsia="Noto Sans CJK KR Thin" w:hAnsi="Times New Roman" w:cs="Times New Roman"/>
          <w:b/>
          <w:bCs/>
          <w:color w:val="000000"/>
          <w:sz w:val="28"/>
          <w:szCs w:val="28"/>
        </w:rPr>
        <w:t>1577-1366&gt;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Noto Sans CJK KR Thin">
    <w:panose1 w:val="00000000000000000000"/>
    <w:family w:val="swiss"/>
    <w:altName w:val="맑은 고딕"/>
    <w:charset w:val="81"/>
    <w:notTrueType w:val="false"/>
    <w:pitch w:val="variable"/>
    <w:sig w:usb0="30000207" w:usb1="2BDF3C10" w:usb2="00000016" w:usb3="00000000" w:csb0="002E0107" w:csb1="0000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styleId="a4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5">
    <w:name w:val="annotation text"/>
    <w:uiPriority w:val="99"/>
    <w:basedOn w:val="a"/>
    <w:link w:val="Char"/>
    <w:semiHidden/>
    <w:unhideWhenUsed/>
    <w:pPr>
      <w:jc w:val="left"/>
    </w:pPr>
  </w:style>
  <w:style w:type="character" w:customStyle="1" w:styleId="Char">
    <w:name w:val="메모 텍스트 Char"/>
    <w:uiPriority w:val="99"/>
    <w:basedOn w:val="a0"/>
    <w:link w:val="a5"/>
    <w:semiHidden/>
  </w:style>
  <w:style w:type="paragraph" w:styleId="a6">
    <w:name w:val="annotation subject"/>
    <w:uiPriority w:val="99"/>
    <w:basedOn w:val="a5"/>
    <w:next w:val="a5"/>
    <w:link w:val="Char0"/>
    <w:semiHidden/>
    <w:unhideWhenUsed/>
    <w:rPr>
      <w:b/>
      <w:bCs/>
    </w:rPr>
  </w:style>
  <w:style w:type="character" w:customStyle="1" w:styleId="Char0">
    <w:name w:val="메모 주제 Char"/>
    <w:uiPriority w:val="99"/>
    <w:basedOn w:val="Char"/>
    <w:link w:val="a6"/>
    <w:semiHidden/>
    <w:rPr>
      <w:b/>
      <w:bCs/>
    </w:rPr>
  </w:style>
  <w:style w:type="character" w:styleId="a7">
    <w:name w:val="Hyperlink"/>
    <w:uiPriority w:val="99"/>
    <w:basedOn w:val="a0"/>
    <w:semiHidden/>
    <w:unhideWhenUsed/>
    <w:rPr>
      <w:color w:val="0000FF"/>
      <w:u w:val="single" w:color="auto"/>
    </w:rPr>
  </w:style>
  <w:style w:type="character" w:customStyle="1" w:styleId="fnb">
    <w:name w:val="f_nb"/>
    <w:basedOn w:val="a0"/>
  </w:style>
  <w:style w:type="paragraph" w:customStyle="1" w:styleId="feb">
    <w:name w:val="f_eb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paragraph" w:styleId="a8">
    <w:name w:val="head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머리글 Char"/>
    <w:uiPriority w:val="99"/>
    <w:basedOn w:val="a0"/>
    <w:link w:val="a8"/>
  </w:style>
  <w:style w:type="paragraph" w:styleId="a9">
    <w:name w:val="footer"/>
    <w:uiPriority w:val="99"/>
    <w:basedOn w:val="a"/>
    <w:link w:val="Char2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2">
    <w:name w:val="바닥글 Char"/>
    <w:uiPriority w:val="99"/>
    <w:basedOn w:val="a0"/>
    <w:link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2021-12-25T03:44:00Z</dcterms:created>
  <dcterms:modified xsi:type="dcterms:W3CDTF">2021-12-27T04:23:41Z</dcterms:modified>
  <cp:version>1000.0100.01</cp:version>
</cp:coreProperties>
</file>