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0" w:right="0" w:firstLine="0"/>
        <w:jc w:val="center"/>
        <w:spacing w:after="160" w:before="0" w:line="259"/>
        <w:rPr>
          <w:rFonts w:ascii="휴먼명조" w:eastAsia="휴먼명조" w:hAnsi="휴먼명조" w:cs="휴먼명조"/>
          <w:b/>
          <w:color w:val="203A7B"/>
          <w:sz w:val="36"/>
          <w:szCs w:val="32"/>
          <w:position w:val="0"/>
          <w:shd w:val="clear" w:color="auto" w:fill="auto"/>
          <w:spacing w:val="0"/>
        </w:rPr>
      </w:pPr>
      <w:r>
        <w:rPr>
          <w:rFonts w:ascii="휴먼명조" w:eastAsia="휴먼명조" w:hAnsi="휴먼명조" w:cs="휴먼명조"/>
          <w:b/>
          <w:color w:val="203A7B"/>
          <w:sz w:val="36"/>
          <w:szCs w:val="32"/>
          <w:position w:val="0"/>
          <w:shd w:val="clear" w:color="auto" w:fill="auto"/>
          <w:spacing w:val="0"/>
        </w:rPr>
        <w:t>Yangi yil bayramlar mobaynida karantinni kuchaytirish bo'yicha maxsus tadbirlar</w:t>
      </w:r>
    </w:p>
    <w:tbl>
      <w:tblPr>
        <w:tblLook w:val="04A0" w:firstRow="1" w:lastRow="0" w:firstColumn="1" w:lastColumn="0" w:noHBand="0" w:noVBand="1"/>
      </w:tblPr>
      <w:tblGrid>
        <w:gridCol w:w="2694"/>
        <w:gridCol w:w="7858"/>
      </w:tblGrid>
      <w:tr>
        <w:trPr>
          <w:jc w:val="center"/>
          <w:trHeight w:val="619" w:hRule="auto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center"/>
              <w:spacing w:after="0" w:before="0" w:line="312"/>
              <w:rPr>
                <w:position w:val="0"/>
                <w:spacing w:val="0"/>
              </w:rPr>
            </w:pPr>
            <w:r>
              <w:rPr>
                <w:rFonts w:ascii="휴먼명조" w:eastAsia="휴먼명조" w:hAnsi="휴먼명조" w:cs="휴먼명조"/>
                <w:b/>
                <w:color w:val="000000"/>
                <w:sz w:val="24"/>
                <w:position w:val="0"/>
                <w:shd w:val="clear" w:color="auto" w:fill="auto"/>
                <w:spacing w:val="0"/>
              </w:rPr>
              <w:t>Karantin muddati</w:t>
            </w:r>
          </w:p>
        </w:tc>
        <w:tc>
          <w:tcPr>
            <w:tcW w:w="7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both"/>
              <w:spacing w:after="0" w:before="0" w:line="312"/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</w:pPr>
            <w:r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  <w:t>24-dekabr 2020-yil soat 00:00 dan boshlab</w:t>
            </w:r>
          </w:p>
          <w:p>
            <w:pPr>
              <w:ind w:left="0" w:right="0" w:firstLine="0"/>
              <w:jc w:val="both"/>
              <w:spacing w:after="0" w:before="0" w:line="312"/>
              <w:rPr>
                <w:position w:val="0"/>
                <w:spacing w:val="0"/>
              </w:rPr>
            </w:pPr>
            <w:r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  <w:t>3-yanvar 2021-yil soat 23:59 gacha</w:t>
            </w:r>
          </w:p>
        </w:tc>
      </w:tr>
      <w:tr>
        <w:trPr>
          <w:jc w:val="center"/>
          <w:trHeight w:val="563" w:hRule="auto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center"/>
              <w:spacing w:after="0" w:before="0" w:line="312"/>
              <w:rPr>
                <w:position w:val="0"/>
                <w:spacing w:val="0"/>
              </w:rPr>
            </w:pPr>
            <w:r>
              <w:rPr>
                <w:rFonts w:ascii="휴먼명조" w:eastAsia="휴먼명조" w:hAnsi="휴먼명조" w:cs="휴먼명조"/>
                <w:b/>
                <w:color w:val="000000"/>
                <w:sz w:val="24"/>
                <w:position w:val="0"/>
                <w:shd w:val="clear" w:color="auto" w:fill="auto"/>
                <w:spacing w:val="0"/>
              </w:rPr>
              <w:t>Tegishli viloyatlar</w:t>
            </w:r>
          </w:p>
        </w:tc>
        <w:tc>
          <w:tcPr>
            <w:tcW w:w="7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both"/>
              <w:spacing w:after="0" w:before="0" w:line="312"/>
              <w:rPr>
                <w:position w:val="0"/>
                <w:spacing w:val="0"/>
              </w:rPr>
            </w:pPr>
            <w:r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  <w:t>Butun mamlakat bo'ylab</w:t>
            </w:r>
          </w:p>
        </w:tc>
      </w:tr>
      <w:tr>
        <w:trPr>
          <w:jc w:val="center"/>
          <w:trHeight w:val="619" w:hRule="auto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center"/>
              <w:spacing w:after="0" w:before="0" w:line="312"/>
              <w:rPr>
                <w:position w:val="0"/>
                <w:spacing w:val="0"/>
              </w:rPr>
            </w:pPr>
            <w:r>
              <w:rPr>
                <w:rFonts w:ascii="휴먼명조" w:eastAsia="휴먼명조" w:hAnsi="휴먼명조" w:cs="휴먼명조"/>
                <w:b/>
                <w:color w:val="000000"/>
                <w:sz w:val="24"/>
                <w:position w:val="0"/>
                <w:shd w:val="clear" w:color="auto" w:fill="auto"/>
                <w:spacing w:val="0"/>
              </w:rPr>
              <w:t>Qishki sport maydonlari</w:t>
            </w:r>
          </w:p>
        </w:tc>
        <w:tc>
          <w:tcPr>
            <w:tcW w:w="7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both"/>
              <w:spacing w:after="0" w:before="0" w:line="312"/>
              <w:rPr>
                <w:position w:val="0"/>
                <w:spacing w:val="0"/>
              </w:rPr>
            </w:pPr>
            <w:r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  <w:t>Konkida uchish, chang</w:t>
            </w:r>
            <w:r>
              <w:rPr>
                <w:rFonts w:ascii="맑은 고딕" w:eastAsia="맑은 고딕" w:hAnsi="맑은 고딕" w:cs="맑은 고딕"/>
                <w:color w:val="000000"/>
                <w:sz w:val="24"/>
                <w:position w:val="0"/>
                <w:shd w:val="clear" w:color="auto" w:fill="auto"/>
                <w:spacing w:val="0"/>
              </w:rPr>
              <w:t>’</w:t>
            </w:r>
            <w:r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  <w:t>i-chanada uchish maydonlarida yig</w:t>
            </w:r>
            <w:r>
              <w:rPr>
                <w:rFonts w:ascii="맑은 고딕" w:eastAsia="맑은 고딕" w:hAnsi="맑은 고딕" w:cs="맑은 고딕"/>
                <w:color w:val="000000"/>
                <w:sz w:val="24"/>
                <w:position w:val="0"/>
                <w:shd w:val="clear" w:color="auto" w:fill="auto"/>
                <w:spacing w:val="0"/>
              </w:rPr>
              <w:t>’</w:t>
            </w:r>
            <w:r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  <w:t>inlar va uchrashuvlar taqiqlanadi</w:t>
            </w:r>
          </w:p>
        </w:tc>
      </w:tr>
      <w:tr>
        <w:trPr>
          <w:jc w:val="center"/>
          <w:trHeight w:val="1178" w:hRule="auto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center"/>
              <w:spacing w:after="0" w:before="0" w:line="312"/>
              <w:rPr>
                <w:position w:val="0"/>
                <w:spacing w:val="0"/>
              </w:rPr>
            </w:pPr>
            <w:r>
              <w:rPr>
                <w:rFonts w:ascii="휴먼명조" w:eastAsia="휴먼명조" w:hAnsi="휴먼명조" w:cs="휴먼명조"/>
                <w:b/>
                <w:color w:val="000000"/>
                <w:sz w:val="24"/>
                <w:position w:val="0"/>
                <w:shd w:val="clear" w:color="auto" w:fill="auto"/>
                <w:spacing w:val="0"/>
              </w:rPr>
              <w:t>Mehmonxona va yotoqxonalar</w:t>
            </w:r>
          </w:p>
        </w:tc>
        <w:tc>
          <w:tcPr>
            <w:tcW w:w="7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both"/>
              <w:spacing w:after="0" w:before="0" w:line="312"/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</w:pPr>
            <w:r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  <w:t>-Xonalarni bron qilish uchun 50% chegara, chegaradan oshgan taqdirda xonani band etish taqiqlanadi</w:t>
            </w:r>
          </w:p>
          <w:p>
            <w:pPr>
              <w:ind w:left="0" w:right="0" w:firstLine="0"/>
              <w:jc w:val="both"/>
              <w:spacing w:after="0" w:before="0" w:line="312"/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</w:pPr>
            <w:r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  <w:t>-</w:t>
            </w:r>
            <w:r>
              <w:rPr>
                <w:rFonts w:ascii="휴먼명조" w:eastAsia="휴먼명조" w:hAnsi="휴먼명조" w:cs="휴먼명조"/>
                <w:color w:val="auto"/>
                <w:sz w:val="24"/>
                <w:position w:val="0"/>
                <w:shd w:val="clear" w:color="auto" w:fill="auto"/>
                <w:spacing w:val="0"/>
              </w:rPr>
              <w:t xml:space="preserve"> Oldindan bron etilgan xolda, bronni</w:t>
            </w:r>
            <w:r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  <w:t xml:space="preserve"> bekor qilish yoki to’lovni qaytarish amalga oshiriladi</w:t>
            </w:r>
          </w:p>
          <w:p>
            <w:pPr>
              <w:ind w:left="0" w:right="0" w:firstLine="0"/>
              <w:jc w:val="both"/>
              <w:spacing w:after="0" w:before="0" w:line="312"/>
              <w:rPr>
                <w:position w:val="0"/>
                <w:spacing w:val="0"/>
              </w:rPr>
            </w:pPr>
            <w:r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  <w:t>-Muassasa ichidagi tadbirlar va ziyofatlarni taqiqlash</w:t>
            </w:r>
          </w:p>
        </w:tc>
      </w:tr>
      <w:tr>
        <w:trPr>
          <w:jc w:val="center"/>
          <w:trHeight w:val="56" w:hRule="auto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center"/>
              <w:spacing w:after="0" w:before="0" w:line="312"/>
              <w:rPr>
                <w:rFonts w:ascii="맑은 고딕" w:eastAsia="맑은 고딕" w:hAnsi="맑은 고딕" w:cs="맑은 고딕"/>
                <w:color w:val="auto"/>
                <w:sz w:val="28"/>
                <w:position w:val="0"/>
                <w:shd w:val="clear" w:color="auto" w:fill="auto"/>
                <w:spacing w:val="0"/>
              </w:rPr>
            </w:pPr>
            <w:r>
              <w:rPr>
                <w:rFonts w:ascii="휴먼명조" w:eastAsia="휴먼명조" w:hAnsi="휴먼명조" w:cs="휴먼명조"/>
                <w:b/>
                <w:color w:val="000000"/>
                <w:sz w:val="24"/>
                <w:position w:val="0"/>
                <w:shd w:val="clear" w:color="auto" w:fill="auto"/>
                <w:spacing w:val="0"/>
              </w:rPr>
              <w:t>Ko'rgazmalar</w:t>
            </w:r>
          </w:p>
          <w:p>
            <w:pPr>
              <w:ind w:left="0" w:right="0" w:firstLine="0"/>
              <w:jc w:val="center"/>
              <w:spacing w:after="0" w:before="0" w:line="312"/>
              <w:rPr>
                <w:position w:val="0"/>
                <w:spacing w:val="0"/>
              </w:rPr>
            </w:pPr>
            <w:r>
              <w:rPr>
                <w:rFonts w:ascii="휴먼명조" w:eastAsia="휴먼명조" w:hAnsi="휴먼명조" w:cs="휴먼명조"/>
                <w:b/>
                <w:color w:val="000000"/>
                <w:sz w:val="24"/>
                <w:position w:val="0"/>
                <w:shd w:val="clear" w:color="auto" w:fill="auto"/>
                <w:spacing w:val="0"/>
              </w:rPr>
              <w:t>Milliy va jamoat bog'i</w:t>
            </w:r>
          </w:p>
        </w:tc>
        <w:tc>
          <w:tcPr>
            <w:tcW w:w="7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both"/>
              <w:spacing w:after="0" w:before="0" w:line="312"/>
              <w:rPr>
                <w:position w:val="0"/>
                <w:spacing w:val="0"/>
              </w:rPr>
            </w:pPr>
            <w:r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  <w:t>Yopish va mehmonlarga kirishni cheklash</w:t>
            </w:r>
          </w:p>
        </w:tc>
      </w:tr>
      <w:tr>
        <w:trPr>
          <w:jc w:val="center"/>
          <w:trHeight w:val="1234" w:hRule="auto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center"/>
              <w:spacing w:after="0" w:before="0" w:line="312"/>
              <w:rPr>
                <w:position w:val="0"/>
                <w:spacing w:val="0"/>
              </w:rPr>
            </w:pPr>
            <w:r>
              <w:rPr>
                <w:rFonts w:ascii="맑은 고딕" w:eastAsia="맑은 고딕" w:hAnsi="맑은 고딕" w:cs="맑은 고딕"/>
                <w:color w:val="auto"/>
                <w:sz w:val="28"/>
                <w:position w:val="0"/>
                <w:shd w:val="clear" w:color="auto" w:fill="auto"/>
                <w:spacing w:val="0"/>
              </w:rPr>
              <w:t xml:space="preserve"> </w:t>
            </w:r>
            <w:r>
              <w:rPr>
                <w:rFonts w:ascii="휴먼명조" w:eastAsia="휴먼명조" w:hAnsi="휴먼명조" w:cs="휴먼명조" w:hint="default"/>
                <w:b/>
                <w:color w:val="000000"/>
                <w:sz w:val="24"/>
                <w:position w:val="0"/>
                <w:shd w:val="clear" w:color="auto" w:fill="auto"/>
                <w:spacing w:val="0"/>
              </w:rPr>
              <w:t>Do'konlar va yirik savdo markazlari</w:t>
            </w:r>
          </w:p>
        </w:tc>
        <w:tc>
          <w:tcPr>
            <w:tcW w:w="7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both"/>
              <w:spacing w:after="0" w:before="0" w:line="312"/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</w:pPr>
            <w:r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  <w:t>-Majburiy holda tan haroratini tekshirish</w:t>
            </w:r>
          </w:p>
          <w:p>
            <w:pPr>
              <w:ind w:left="0" w:right="0" w:firstLine="0"/>
              <w:jc w:val="both"/>
              <w:spacing w:after="0" w:before="0" w:line="312"/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</w:pPr>
            <w:r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  <w:t>-Namuna mahsulotlarni ta</w:t>
            </w:r>
            <w:r>
              <w:rPr>
                <w:rFonts w:ascii="맑은 고딕" w:eastAsia="맑은 고딕" w:hAnsi="맑은 고딕" w:cs="맑은 고딕"/>
                <w:color w:val="000000"/>
                <w:sz w:val="24"/>
                <w:position w:val="0"/>
                <w:shd w:val="clear" w:color="auto" w:fill="auto"/>
                <w:spacing w:val="0"/>
              </w:rPr>
              <w:t>’</w:t>
            </w:r>
            <w:r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  <w:t>tib ko'rish va ulardan foydalanishni taqiqlash va mehmon tadbirlarini to'xtatib qo'yish</w:t>
            </w:r>
          </w:p>
          <w:p>
            <w:pPr>
              <w:ind w:left="0" w:right="0" w:firstLine="0"/>
              <w:jc w:val="both"/>
              <w:spacing w:after="0" w:before="0" w:line="312"/>
              <w:rPr>
                <w:position w:val="0"/>
                <w:spacing w:val="0"/>
              </w:rPr>
            </w:pPr>
            <w:r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  <w:t>-Dam olish xonasidan foydalanishni taqiqlash</w:t>
            </w:r>
          </w:p>
        </w:tc>
      </w:tr>
      <w:tr>
        <w:trPr>
          <w:jc w:val="center"/>
          <w:trHeight w:val="927" w:hRule="auto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autoSpaceDE w:val="off"/>
              <w:autoSpaceDN w:val="off"/>
              <w:widowControl w:val="off"/>
              <w:wordWrap w:val="off"/>
              <w:jc w:val="center"/>
              <w:spacing w:after="0" w:before="0" w:line="312" w:lineRule="auto"/>
              <w:rPr>
                <w:position w:val="0"/>
                <w:spacing w:val="0"/>
              </w:rPr>
            </w:pPr>
            <w:r>
              <w:rPr>
                <w:rFonts w:ascii="휴먼명조" w:eastAsia="휴먼명조" w:hAnsi="휴먼명조" w:cs="휴먼명조" w:hint="default"/>
                <w:b/>
                <w:color w:val="000000"/>
                <w:sz w:val="24"/>
                <w:position w:val="0"/>
                <w:shd w:val="clear" w:color="auto" w:fill="auto"/>
                <w:spacing w:val="0"/>
              </w:rPr>
              <w:t>Diniy muassasalar</w:t>
            </w:r>
          </w:p>
        </w:tc>
        <w:tc>
          <w:tcPr>
            <w:tcW w:w="7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both"/>
              <w:spacing w:after="0" w:before="0" w:line="312"/>
              <w:rPr>
                <w:position w:val="0"/>
                <w:spacing w:val="0"/>
              </w:rPr>
            </w:pPr>
            <w:r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  <w:t>Yuzma-yuz muloqotni cheklash qoidasiga rioya qilish, uchrashuvlar va birga ovqatlanishni taqiqlash</w:t>
            </w:r>
          </w:p>
        </w:tc>
      </w:tr>
      <w:tr>
        <w:trPr>
          <w:jc w:val="center"/>
          <w:trHeight w:val="927" w:hRule="auto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center"/>
              <w:spacing w:after="0" w:before="0" w:line="312"/>
              <w:rPr>
                <w:position w:val="0"/>
                <w:spacing w:val="0"/>
              </w:rPr>
            </w:pPr>
            <w:r>
              <w:rPr>
                <w:rFonts w:ascii="휴먼명조" w:eastAsia="휴먼명조" w:hAnsi="휴먼명조" w:cs="휴먼명조"/>
                <w:b/>
                <w:color w:val="000000"/>
                <w:sz w:val="24"/>
                <w:position w:val="0"/>
                <w:shd w:val="clear" w:color="auto" w:fill="auto"/>
                <w:spacing w:val="0"/>
              </w:rPr>
              <w:t>Restoran va oshxonalar</w:t>
            </w:r>
          </w:p>
        </w:tc>
        <w:tc>
          <w:tcPr>
            <w:tcW w:w="7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both"/>
              <w:spacing w:after="0" w:before="0" w:line="312"/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</w:pPr>
            <w:r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  <w:t>5 kishidan ortiq odamlar bilan uchrashuvlar o'tkazilmaydi</w:t>
            </w:r>
          </w:p>
          <w:p>
            <w:pPr>
              <w:ind w:left="0" w:right="0" w:firstLine="0"/>
              <w:jc w:val="both"/>
              <w:spacing w:after="0" w:before="0" w:line="312"/>
              <w:rPr>
                <w:position w:val="0"/>
                <w:spacing w:val="0"/>
              </w:rPr>
            </w:pPr>
            <w:r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  <w:t>Agar qoidabuzarlik bo'lsa, restoran egasi 3 million von (mehmon 100 000 von) jarimaga tortadi</w:t>
            </w:r>
          </w:p>
        </w:tc>
      </w:tr>
      <w:tr>
        <w:trPr>
          <w:jc w:val="center"/>
          <w:trHeight w:val="870" w:hRule="auto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center"/>
              <w:spacing w:after="0" w:before="0" w:line="312"/>
              <w:rPr>
                <w:position w:val="0"/>
                <w:spacing w:val="0"/>
              </w:rPr>
            </w:pPr>
            <w:r>
              <w:rPr>
                <w:rFonts w:ascii="휴먼명조" w:eastAsia="휴먼명조" w:hAnsi="휴먼명조" w:cs="휴먼명조"/>
                <w:b/>
                <w:color w:val="000000"/>
                <w:sz w:val="24"/>
                <w:position w:val="0"/>
                <w:shd w:val="clear" w:color="auto" w:fill="auto"/>
                <w:spacing w:val="0"/>
              </w:rPr>
              <w:t>Kinoteatrlar</w:t>
            </w:r>
          </w:p>
        </w:tc>
        <w:tc>
          <w:tcPr>
            <w:tcW w:w="7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>
            <w:pPr>
              <w:ind w:left="0" w:right="0" w:firstLine="0"/>
              <w:jc w:val="both"/>
              <w:spacing w:after="0" w:before="0" w:line="312"/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</w:pPr>
            <w:r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  <w:t>Soat 21:00 dan ertasi kuni soat 17:00 gacha yopiladi</w:t>
            </w:r>
          </w:p>
          <w:p>
            <w:pPr>
              <w:ind w:left="0" w:right="0" w:firstLine="0"/>
              <w:jc w:val="both"/>
              <w:spacing w:after="0" w:before="0" w:line="312"/>
              <w:rPr>
                <w:position w:val="0"/>
                <w:spacing w:val="0"/>
              </w:rPr>
            </w:pPr>
            <w:r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  <w:t>Bitta o'rindiqni bo</w:t>
            </w:r>
            <w:r>
              <w:rPr>
                <w:rFonts w:ascii="맑은 고딕" w:eastAsia="맑은 고딕" w:hAnsi="맑은 고딕" w:cs="맑은 고딕"/>
                <w:color w:val="000000"/>
                <w:sz w:val="24"/>
                <w:position w:val="0"/>
                <w:shd w:val="clear" w:color="auto" w:fill="auto"/>
                <w:spacing w:val="0"/>
              </w:rPr>
              <w:t>’</w:t>
            </w:r>
            <w:r>
              <w:rPr>
                <w:rFonts w:ascii="휴먼명조" w:eastAsia="휴먼명조" w:hAnsi="휴먼명조" w:cs="휴먼명조"/>
                <w:color w:val="000000"/>
                <w:sz w:val="24"/>
                <w:position w:val="0"/>
                <w:shd w:val="clear" w:color="auto" w:fill="auto"/>
                <w:spacing w:val="0"/>
              </w:rPr>
              <w:t>sh qoldirish (konsertlarda ikkita bo'sh o'rindiq)</w:t>
            </w:r>
          </w:p>
        </w:tc>
      </w:tr>
    </w:tbl>
    <w:p>
      <w:pPr>
        <w:ind w:left="0" w:right="0" w:firstLine="0"/>
        <w:jc w:val="right"/>
        <w:spacing w:after="0" w:before="0" w:line="240"/>
        <w:rPr>
          <w:rFonts w:ascii="한컴산뜻돋움" w:eastAsia="한컴산뜻돋움" w:hAnsi="한컴산뜻돋움" w:cs="한컴산뜻돋움"/>
          <w:color w:val="000000"/>
          <w:sz w:val="20"/>
          <w:position w:val="0"/>
          <w:shd w:val="clear" w:color="auto" w:fill="auto"/>
          <w:spacing w:val="0"/>
        </w:rPr>
      </w:pPr>
    </w:p>
    <w:p>
      <w:pPr>
        <w:ind w:left="0" w:right="0" w:firstLine="0"/>
        <w:jc w:val="right"/>
        <w:spacing w:after="0" w:before="0" w:line="384"/>
        <w:rPr>
          <w:rFonts w:ascii="맑은 고딕" w:eastAsia="맑은 고딕" w:hAnsi="맑은 고딕" w:cs="맑은 고딕"/>
          <w:color w:val="auto"/>
          <w:sz w:val="24"/>
          <w:position w:val="0"/>
          <w:shd w:val="clear" w:color="auto" w:fill="auto"/>
          <w:spacing w:val="0"/>
        </w:rPr>
      </w:pPr>
      <w:r>
        <w:rPr>
          <w:lang w:eastAsia="ko-KR"/>
          <w:rFonts w:ascii="휴먼명조" w:eastAsia="휴먼명조" w:hAnsi="휴먼명조" w:cs="휴먼명조"/>
          <w:color w:val="000000"/>
          <w:sz w:val="24"/>
          <w:position w:val="0"/>
          <w:shd w:val="clear" w:color="auto" w:fill="auto"/>
          <w:spacing w:val="0"/>
          <w:rtl w:val="off"/>
        </w:rPr>
        <w:t>&lt;</w:t>
      </w:r>
      <w:r>
        <w:rPr>
          <w:rFonts w:ascii="휴먼명조" w:eastAsia="휴먼명조" w:hAnsi="휴먼명조" w:cs="휴먼명조"/>
          <w:color w:val="000000"/>
          <w:sz w:val="24"/>
          <w:position w:val="0"/>
          <w:shd w:val="clear" w:color="auto" w:fill="auto"/>
          <w:spacing w:val="0"/>
        </w:rPr>
        <w:t>Ushbu ma`lumotni Danuri</w:t>
      </w:r>
      <w:r>
        <w:rPr>
          <w:rFonts w:ascii="휴먼명조" w:eastAsia="휴먼명조" w:hAnsi="휴먼명조" w:cs="휴먼명조" w:hint="default"/>
          <w:color w:val="000000"/>
          <w:sz w:val="24"/>
          <w:position w:val="0"/>
          <w:shd w:val="clear" w:color="auto" w:fill="auto"/>
          <w:spacing w:val="0"/>
        </w:rPr>
        <w:t xml:space="preserve"> </w:t>
      </w:r>
      <w:r>
        <w:rPr>
          <w:rFonts w:ascii="휴먼명조" w:eastAsia="휴먼명조" w:hAnsi="휴먼명조" w:cs="휴먼명조" w:hint="default"/>
          <w:color w:val="000000"/>
          <w:sz w:val="24"/>
          <w:position w:val="0"/>
          <w:shd w:val="clear" w:color="auto" w:fill="auto"/>
          <w:spacing w:val="0"/>
        </w:rPr>
        <w:t>aloqa markaz</w:t>
      </w:r>
      <w:r>
        <w:rPr>
          <w:rFonts w:ascii="휴먼명조" w:eastAsia="휴먼명조" w:hAnsi="휴먼명조" w:cs="휴먼명조" w:hint="default"/>
          <w:color w:val="000000"/>
          <w:sz w:val="24"/>
          <w:position w:val="0"/>
          <w:shd w:val="clear" w:color="auto" w:fill="auto"/>
          <w:spacing w:val="0"/>
        </w:rPr>
        <w:t>i15</w:t>
      </w:r>
      <w:r>
        <w:rPr>
          <w:rFonts w:ascii="휴먼명조" w:eastAsia="휴먼명조" w:hAnsi="휴먼명조" w:cs="휴먼명조"/>
          <w:color w:val="000000"/>
          <w:sz w:val="24"/>
          <w:position w:val="0"/>
          <w:shd w:val="clear" w:color="auto" w:fill="auto"/>
          <w:spacing w:val="0"/>
        </w:rPr>
        <w:t>77-1366 tomonidan tarjima qilindi.</w:t>
      </w:r>
      <w:r>
        <w:rPr>
          <w:lang w:eastAsia="ko-KR"/>
          <w:rFonts w:ascii="휴먼명조" w:eastAsia="휴먼명조" w:hAnsi="휴먼명조" w:cs="휴먼명조"/>
          <w:color w:val="000000"/>
          <w:sz w:val="24"/>
          <w:position w:val="0"/>
          <w:shd w:val="clear" w:color="auto" w:fill="auto"/>
          <w:spacing w:val="0"/>
          <w:rtl w:val="off"/>
        </w:rPr>
        <w:t>&gt;</w:t>
      </w:r>
    </w:p>
    <w:sectPr>
      <w:pgSz w:w="11906" w:h="16838"/>
      <w:pgMar w:top="720" w:right="720" w:bottom="720" w:left="720" w:header="720" w:footer="720" w:gutter="0"/>
      <w:cols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휴먼명조">
    <w:notTrueType w:val="false"/>
  </w:font>
  <w:font w:name="맑은 고딕">
    <w:panose1 w:val="020B0503020000020004"/>
    <w:notTrueType w:val="false"/>
    <w:sig w:usb0="9000002F" w:usb1="29D77CFB" w:usb2="00000012" w:usb3="00000001" w:csb0="00080001" w:csb1="00000001"/>
  </w:font>
  <w:font w:name="한컴산뜻돋움">
    <w:panose1 w:val="02000000000000000000"/>
    <w:notTrueType w:val="false"/>
    <w:sig w:usb0="800002A7" w:usb1="39D7FCFB" w:usb2="00000014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70"/>
  <w:drawingGridVerticalSpacing w:val="170"/>
  <w:displayHorizontalDrawingGridEvery w:val="2"/>
  <w:displayVerticalDrawingGridEvery w:val="2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modified xsi:type="dcterms:W3CDTF">2020-12-24T04:27:14Z</dcterms:modified>
  <cp:version>1000.0100.01</cp:version>
</cp:coreProperties>
</file>